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contextualSpacing/>
        <w:jc w:val="both"/>
        <w:spacing w:after="0" w:line="360" w:lineRule="exact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Анализ состояния безопасности движения на железнодорожном транспорте общего пользования в разрезе железных дорог за январь</w:t>
      </w:r>
      <w:r>
        <w:rPr>
          <w:b w:val="0"/>
          <w:spacing w:val="0"/>
          <w:sz w:val="28"/>
          <w:szCs w:val="28"/>
        </w:rPr>
        <w:t xml:space="preserve"> </w:t>
      </w:r>
      <w:r>
        <w:rPr>
          <w:b w:val="0"/>
          <w:spacing w:val="0"/>
          <w:sz w:val="28"/>
          <w:szCs w:val="28"/>
        </w:rPr>
        <w:t xml:space="preserve">2026 года</w:t>
      </w:r>
      <w:r>
        <w:rPr>
          <w:b w:val="0"/>
          <w:spacing w:val="0"/>
          <w:sz w:val="28"/>
          <w:szCs w:val="28"/>
        </w:rPr>
      </w:r>
      <w:r>
        <w:rPr>
          <w:b w:val="0"/>
          <w:spacing w:val="0"/>
          <w:sz w:val="28"/>
          <w:szCs w:val="28"/>
        </w:rPr>
      </w:r>
    </w:p>
    <w:p>
      <w:pPr>
        <w:pStyle w:val="886"/>
        <w:contextualSpacing/>
        <w:jc w:val="both"/>
        <w:spacing w:after="0" w:line="360" w:lineRule="exac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886"/>
        <w:contextualSpacing/>
        <w:ind w:firstLine="708"/>
        <w:jc w:val="both"/>
        <w:spacing w:after="0" w:line="360" w:lineRule="exact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В соответствии с п. 2 раздела </w:t>
      </w:r>
      <w:r>
        <w:rPr>
          <w:b w:val="0"/>
          <w:spacing w:val="0"/>
          <w:sz w:val="28"/>
          <w:szCs w:val="28"/>
          <w:lang w:val="en-US"/>
        </w:rPr>
        <w:t xml:space="preserve">I</w:t>
      </w:r>
      <w:r>
        <w:rPr>
          <w:b w:val="0"/>
          <w:spacing w:val="0"/>
          <w:sz w:val="28"/>
          <w:szCs w:val="28"/>
        </w:rPr>
        <w:t xml:space="preserve">V Протокола совещания № 12 от 15 ноября 2023 года, в МТУ Ространснадзора по СФО проведен анализ причин сходов железнодорожного подвижного состава в разрезе железных дорог </w:t>
      </w:r>
      <w:r>
        <w:rPr>
          <w:b w:val="0"/>
          <w:spacing w:val="0"/>
          <w:sz w:val="28"/>
          <w:szCs w:val="28"/>
        </w:rPr>
        <w:t xml:space="preserve">за январь</w:t>
      </w:r>
      <w:r>
        <w:rPr>
          <w:b w:val="0"/>
          <w:spacing w:val="0"/>
          <w:sz w:val="28"/>
          <w:szCs w:val="28"/>
        </w:rPr>
        <w:t xml:space="preserve"> </w:t>
      </w:r>
      <w:r>
        <w:rPr>
          <w:b w:val="0"/>
          <w:spacing w:val="0"/>
          <w:sz w:val="28"/>
          <w:szCs w:val="28"/>
        </w:rPr>
        <w:t xml:space="preserve">2026 года</w:t>
      </w:r>
      <w:r>
        <w:rPr>
          <w:b w:val="0"/>
          <w:spacing w:val="0"/>
          <w:sz w:val="28"/>
          <w:szCs w:val="28"/>
        </w:rPr>
        <w:t xml:space="preserve">.</w:t>
      </w:r>
      <w:r>
        <w:rPr>
          <w:b w:val="0"/>
          <w:spacing w:val="0"/>
          <w:sz w:val="28"/>
          <w:szCs w:val="28"/>
        </w:rPr>
      </w:r>
      <w:r>
        <w:rPr>
          <w:b w:val="0"/>
          <w:spacing w:val="0"/>
          <w:sz w:val="28"/>
          <w:szCs w:val="28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указанный период на поднадзорных МТУ Ространснадзора по СФО железнодорожных путях общего пользования допущено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схода желе</w:t>
      </w:r>
      <w:r>
        <w:rPr>
          <w:rFonts w:ascii="Times New Roman" w:hAnsi="Times New Roman" w:cs="Times New Roman"/>
          <w:sz w:val="28"/>
          <w:szCs w:val="28"/>
        </w:rPr>
        <w:t xml:space="preserve">знодорожного подвижного состава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Восточно-Сибирской и Западно</w:t>
      </w:r>
      <w:r>
        <w:rPr>
          <w:rFonts w:ascii="Times New Roman" w:hAnsi="Times New Roman" w:cs="Times New Roman"/>
          <w:sz w:val="28"/>
          <w:szCs w:val="28"/>
        </w:rPr>
        <w:t xml:space="preserve">-Сибирской </w:t>
      </w:r>
      <w:r>
        <w:rPr>
          <w:rFonts w:ascii="Times New Roman" w:hAnsi="Times New Roman" w:cs="Times New Roman"/>
          <w:sz w:val="28"/>
          <w:szCs w:val="28"/>
        </w:rPr>
        <w:t xml:space="preserve">железных дорогах.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707"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транспортных происшествий (сходы)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707"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путях общего пользования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, допущенных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январе 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707"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082747" cy="2594113"/>
            <wp:effectExtent l="4762" t="4762" r="4762" b="4762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общего числа с</w:t>
      </w:r>
      <w:r>
        <w:rPr>
          <w:rFonts w:ascii="Times New Roman" w:hAnsi="Times New Roman" w:cs="Times New Roman"/>
          <w:sz w:val="28"/>
          <w:szCs w:val="28"/>
        </w:rPr>
        <w:t xml:space="preserve">ходов подвижного состава на путях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br/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случая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возникли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производстве маневровой работы; 1 </w:t>
      </w:r>
      <w:r>
        <w:rPr>
          <w:rFonts w:ascii="Times New Roman" w:hAnsi="Times New Roman" w:cs="Times New Roman"/>
          <w:sz w:val="28"/>
          <w:szCs w:val="28"/>
        </w:rPr>
        <w:t xml:space="preserve">случай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производстве поездной работы; 1 случай – по причине нарушения технологии ремонта подвижного состава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Классификация </w:t>
      </w:r>
      <w:r>
        <w:rPr>
          <w:rFonts w:ascii="Times New Roman" w:hAnsi="Times New Roman" w:cs="Times New Roman"/>
          <w:b/>
          <w:sz w:val="24"/>
          <w:szCs w:val="24"/>
        </w:rPr>
        <w:t xml:space="preserve">транспортных происшествий (сходы)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36"/>
        <w:tblW w:w="4676" w:type="pct"/>
        <w:tblInd w:w="675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4112"/>
        <w:gridCol w:w="1985"/>
        <w:gridCol w:w="1700"/>
        <w:gridCol w:w="1949"/>
      </w:tblGrid>
      <w:tr>
        <w:tblPrEx/>
        <w:trPr/>
        <w:tc>
          <w:tcPr>
            <w:tcW w:w="210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по виду происшествия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8" w:type="pc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Западно-Сибирская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2" w:type="pc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00" w:type="pc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Восточно-Сибирская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2109" w:type="pct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Сход железнодорожного подвиж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состава при поездной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8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00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7"/>
        </w:trPr>
        <w:tc>
          <w:tcPr>
            <w:tcW w:w="2109" w:type="pct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Сход железнодорожного подвижного состава при маневровой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8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00" w:type="pc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09" w:type="pct"/>
            <w:vMerge w:val="restart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технологии ремонта подвижного состава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1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87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000" w:type="pct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2109" w:type="pct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18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7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00" w:type="pc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сход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подвижного состава явилось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numPr>
          <w:ilvl w:val="0"/>
          <w:numId w:val="7"/>
        </w:numPr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технологии производства </w:t>
      </w:r>
      <w:r>
        <w:rPr>
          <w:rFonts w:ascii="Times New Roman" w:hAnsi="Times New Roman" w:cs="Times New Roman"/>
          <w:sz w:val="28"/>
          <w:szCs w:val="28"/>
        </w:rPr>
        <w:t xml:space="preserve">маневровой </w:t>
      </w:r>
      <w:r>
        <w:rPr>
          <w:rFonts w:ascii="Times New Roman" w:hAnsi="Times New Roman" w:cs="Times New Roman"/>
          <w:sz w:val="28"/>
          <w:szCs w:val="28"/>
        </w:rPr>
        <w:t xml:space="preserve">работы привело</w:t>
      </w:r>
      <w:r>
        <w:rPr>
          <w:rFonts w:ascii="Times New Roman" w:hAnsi="Times New Roman" w:cs="Times New Roman"/>
          <w:sz w:val="28"/>
          <w:szCs w:val="28"/>
        </w:rPr>
        <w:br/>
        <w:t xml:space="preserve">к возникновению 2-х случаев на Западно</w:t>
      </w:r>
      <w:r>
        <w:rPr>
          <w:rFonts w:ascii="Times New Roman" w:hAnsi="Times New Roman" w:cs="Times New Roman"/>
          <w:sz w:val="28"/>
          <w:szCs w:val="28"/>
        </w:rPr>
        <w:t xml:space="preserve">-Сибирской железной дороге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numPr>
          <w:ilvl w:val="0"/>
          <w:numId w:val="8"/>
        </w:numPr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нарушени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технологии производства поездной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привело</w:t>
      </w:r>
      <w:r>
        <w:rPr>
          <w:rFonts w:ascii="Times New Roman" w:hAnsi="Times New Roman" w:cs="Times New Roman"/>
          <w:sz w:val="28"/>
          <w:szCs w:val="28"/>
        </w:rPr>
        <w:br/>
        <w:t xml:space="preserve">к возникновению 1-го случая на </w:t>
      </w:r>
      <w:r>
        <w:rPr>
          <w:rFonts w:ascii="Times New Roman" w:hAnsi="Times New Roman" w:cs="Times New Roman"/>
          <w:sz w:val="28"/>
          <w:szCs w:val="28"/>
        </w:rPr>
        <w:t xml:space="preserve">Восточно</w:t>
      </w:r>
      <w:r>
        <w:rPr>
          <w:rFonts w:ascii="Times New Roman" w:hAnsi="Times New Roman" w:cs="Times New Roman"/>
          <w:sz w:val="28"/>
          <w:szCs w:val="28"/>
        </w:rPr>
        <w:t xml:space="preserve">-Сибирской железной дороге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numPr>
          <w:ilvl w:val="0"/>
          <w:numId w:val="8"/>
        </w:numPr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нарушение технологии ремонта подвижного состава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привело</w:t>
      </w:r>
      <w:r>
        <w:rPr>
          <w:rFonts w:ascii="Times New Roman" w:hAnsi="Times New Roman" w:cs="Times New Roman"/>
          <w:sz w:val="28"/>
          <w:szCs w:val="28"/>
        </w:rPr>
        <w:br/>
        <w:t xml:space="preserve">к возникновению 1-го случая на </w:t>
      </w:r>
      <w:r>
        <w:rPr>
          <w:rFonts w:ascii="Times New Roman" w:hAnsi="Times New Roman" w:cs="Times New Roman"/>
          <w:sz w:val="28"/>
          <w:szCs w:val="28"/>
        </w:rPr>
        <w:t xml:space="preserve">Восточно</w:t>
      </w:r>
      <w:r>
        <w:rPr>
          <w:rFonts w:ascii="Times New Roman" w:hAnsi="Times New Roman" w:cs="Times New Roman"/>
          <w:sz w:val="28"/>
          <w:szCs w:val="28"/>
        </w:rPr>
        <w:t xml:space="preserve">-Сибирской железной дороге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88" w:lineRule="auto"/>
        <w:tabs>
          <w:tab w:val="center" w:pos="5457" w:leader="none"/>
          <w:tab w:val="left" w:pos="88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Причины транспортных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событий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(сходы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январе 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spacing w:after="0" w:line="240" w:lineRule="exact"/>
        <w:tabs>
          <w:tab w:val="center" w:pos="5457" w:leader="none"/>
          <w:tab w:val="left" w:pos="88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36"/>
        <w:tblW w:w="9639" w:type="dxa"/>
        <w:tblInd w:w="817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993"/>
        <w:gridCol w:w="992"/>
        <w:gridCol w:w="992"/>
        <w:gridCol w:w="851"/>
        <w:gridCol w:w="992"/>
        <w:gridCol w:w="992"/>
      </w:tblGrid>
      <w:tr>
        <w:tblPrEx/>
        <w:trPr/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происшествия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Западно-Сибирская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Восточно-Сибирская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3827" w:type="dxa"/>
            <w:textDirection w:val="lrTb"/>
            <w:noWrap w:val="false"/>
          </w:tcPr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технологии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маневровой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827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технологии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поездной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25%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технологии ремонта подвижного состава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25%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88" w:lineRule="auto"/>
        <w:tabs>
          <w:tab w:val="left" w:pos="38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tabs>
          <w:tab w:val="left" w:pos="38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причинами сходов железнодорожного подвижного состава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путях общего 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явились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событи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(25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от общего числа сходов на путях общего</w:t>
      </w:r>
      <w:r>
        <w:rPr>
          <w:rFonts w:ascii="Times New Roman" w:hAnsi="Times New Roman" w:cs="Times New Roman"/>
          <w:sz w:val="28"/>
          <w:szCs w:val="28"/>
        </w:rPr>
        <w:t xml:space="preserve"> пользования; 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от общего числа сходов на Восточно-Сибирской железной дороге</w:t>
      </w:r>
      <w:r>
        <w:rPr>
          <w:rFonts w:ascii="Times New Roman" w:hAnsi="Times New Roman" w:cs="Times New Roman"/>
          <w:sz w:val="28"/>
          <w:szCs w:val="28"/>
        </w:rPr>
        <w:t xml:space="preserve">) произошло по причине </w:t>
      </w:r>
      <w:r>
        <w:rPr>
          <w:rFonts w:ascii="Times New Roman" w:hAnsi="Times New Roman" w:cs="Times New Roman"/>
          <w:sz w:val="28"/>
          <w:szCs w:val="28"/>
        </w:rPr>
        <w:t xml:space="preserve">нарушения </w:t>
      </w:r>
      <w:r>
        <w:rPr>
          <w:rFonts w:ascii="Times New Roman" w:hAnsi="Times New Roman" w:cs="Times New Roman"/>
          <w:sz w:val="28"/>
          <w:szCs w:val="28"/>
        </w:rPr>
        <w:t xml:space="preserve">технологии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поездной </w:t>
      </w:r>
      <w:r>
        <w:rPr>
          <w:rFonts w:ascii="Times New Roman" w:hAnsi="Times New Roman" w:cs="Times New Roman"/>
          <w:sz w:val="28"/>
          <w:szCs w:val="28"/>
        </w:rPr>
        <w:t xml:space="preserve">работы;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событи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(25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от общего числа сходов на путях общего</w:t>
      </w:r>
      <w:r>
        <w:rPr>
          <w:rFonts w:ascii="Times New Roman" w:hAnsi="Times New Roman" w:cs="Times New Roman"/>
          <w:sz w:val="28"/>
          <w:szCs w:val="28"/>
        </w:rPr>
        <w:t xml:space="preserve"> пользования</w:t>
      </w:r>
      <w:r>
        <w:rPr>
          <w:rFonts w:ascii="Times New Roman" w:hAnsi="Times New Roman" w:cs="Times New Roman"/>
          <w:sz w:val="28"/>
          <w:szCs w:val="28"/>
        </w:rPr>
        <w:t xml:space="preserve">; 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от общего числа сходов на Восточно-Сибирской железной дороге</w:t>
      </w:r>
      <w:r>
        <w:rPr>
          <w:rFonts w:ascii="Times New Roman" w:hAnsi="Times New Roman" w:cs="Times New Roman"/>
          <w:sz w:val="28"/>
          <w:szCs w:val="28"/>
        </w:rPr>
        <w:t xml:space="preserve">) произошло по причине </w:t>
      </w:r>
      <w:r>
        <w:rPr>
          <w:rFonts w:ascii="Times New Roman" w:hAnsi="Times New Roman" w:cs="Times New Roman"/>
          <w:sz w:val="28"/>
          <w:szCs w:val="28"/>
        </w:rPr>
        <w:t xml:space="preserve">нарушения </w:t>
      </w:r>
      <w:r>
        <w:rPr>
          <w:rFonts w:ascii="Times New Roman" w:hAnsi="Times New Roman" w:cs="Times New Roman"/>
          <w:sz w:val="28"/>
          <w:szCs w:val="28"/>
        </w:rPr>
        <w:t xml:space="preserve">технологии </w:t>
      </w:r>
      <w:r>
        <w:rPr>
          <w:rFonts w:ascii="Times New Roman" w:hAnsi="Times New Roman" w:cs="Times New Roman"/>
          <w:sz w:val="28"/>
          <w:szCs w:val="28"/>
        </w:rPr>
        <w:t xml:space="preserve">ремонта подвижного состава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- 2</w:t>
      </w:r>
      <w:r>
        <w:rPr>
          <w:rFonts w:ascii="Times New Roman" w:hAnsi="Times New Roman" w:cs="Times New Roman"/>
          <w:sz w:val="28"/>
          <w:szCs w:val="28"/>
        </w:rPr>
        <w:t xml:space="preserve"> события</w:t>
      </w:r>
      <w:r>
        <w:rPr>
          <w:rFonts w:ascii="Times New Roman" w:hAnsi="Times New Roman" w:cs="Times New Roman"/>
          <w:sz w:val="28"/>
          <w:szCs w:val="28"/>
        </w:rPr>
        <w:t xml:space="preserve"> (50 </w:t>
      </w:r>
      <w:r>
        <w:rPr>
          <w:rFonts w:ascii="Times New Roman" w:hAnsi="Times New Roman" w:cs="Times New Roman"/>
          <w:sz w:val="28"/>
          <w:szCs w:val="28"/>
        </w:rPr>
        <w:t xml:space="preserve">% от общего числа сходов на путях общего</w:t>
      </w:r>
      <w:r>
        <w:rPr>
          <w:rFonts w:ascii="Times New Roman" w:hAnsi="Times New Roman" w:cs="Times New Roman"/>
          <w:sz w:val="28"/>
          <w:szCs w:val="28"/>
        </w:rPr>
        <w:t xml:space="preserve"> пользования;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от общего числа сходов на Западно-Сибирской железной дороге</w:t>
      </w:r>
      <w:r>
        <w:rPr>
          <w:rFonts w:ascii="Times New Roman" w:hAnsi="Times New Roman" w:cs="Times New Roman"/>
          <w:sz w:val="28"/>
          <w:szCs w:val="28"/>
        </w:rPr>
        <w:t xml:space="preserve">) произошло по причине </w:t>
      </w:r>
      <w:r>
        <w:rPr>
          <w:rFonts w:ascii="Times New Roman" w:hAnsi="Times New Roman" w:cs="Times New Roman"/>
          <w:sz w:val="28"/>
          <w:szCs w:val="28"/>
        </w:rPr>
        <w:t xml:space="preserve">нарушения </w:t>
      </w:r>
      <w:r>
        <w:rPr>
          <w:rFonts w:ascii="Times New Roman" w:hAnsi="Times New Roman" w:cs="Times New Roman"/>
          <w:sz w:val="28"/>
          <w:szCs w:val="28"/>
        </w:rPr>
        <w:t xml:space="preserve">технологии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маневровой </w:t>
      </w:r>
      <w:r>
        <w:rPr>
          <w:rFonts w:ascii="Times New Roman" w:hAnsi="Times New Roman" w:cs="Times New Roman"/>
          <w:sz w:val="28"/>
          <w:szCs w:val="28"/>
        </w:rPr>
        <w:t xml:space="preserve">работы.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center" w:pos="5457" w:leader="none"/>
          <w:tab w:val="left" w:pos="88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Причины транспортных происшествий (сходы)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 xml:space="preserve">территории Сибирского Федерального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exact"/>
        <w:tabs>
          <w:tab w:val="center" w:pos="5457" w:leader="none"/>
          <w:tab w:val="left" w:pos="88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причиной сходов железнодорожного подвижного состава на путях общего пользования послужило нарушение </w:t>
      </w:r>
      <w:r>
        <w:rPr>
          <w:rFonts w:ascii="Times New Roman" w:hAnsi="Times New Roman" w:cs="Times New Roman"/>
          <w:sz w:val="28"/>
          <w:szCs w:val="28"/>
        </w:rPr>
        <w:t xml:space="preserve">технологии производства маневровой работы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Динамика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транспортных происшествий (сходы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столкновения железнодорожного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подвижного состава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путях общего пользования, допущенных в</w:t>
      </w:r>
      <w:r>
        <w:rPr>
          <w:rFonts w:ascii="Times New Roman" w:hAnsi="Times New Roman" w:cs="Times New Roman"/>
          <w:b/>
          <w:sz w:val="24"/>
          <w:szCs w:val="24"/>
        </w:rPr>
        <w:t xml:space="preserve"> январе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2026</w:t>
      </w:r>
      <w:r>
        <w:rPr>
          <w:rFonts w:ascii="Times New Roman" w:hAnsi="Times New Roman" w:cs="Times New Roman"/>
          <w:b/>
          <w:sz w:val="24"/>
          <w:szCs w:val="24"/>
        </w:rPr>
        <w:t xml:space="preserve">-2025 </w:t>
      </w:r>
      <w:r>
        <w:rPr>
          <w:rFonts w:ascii="Times New Roman" w:hAnsi="Times New Roman" w:cs="Times New Roman"/>
          <w:b/>
          <w:sz w:val="24"/>
          <w:szCs w:val="24"/>
        </w:rPr>
        <w:t xml:space="preserve">г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г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36"/>
        <w:tblW w:w="4909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954"/>
        <w:gridCol w:w="1136"/>
        <w:gridCol w:w="1058"/>
        <w:gridCol w:w="1137"/>
        <w:gridCol w:w="1119"/>
        <w:gridCol w:w="994"/>
        <w:gridCol w:w="978"/>
        <w:gridCol w:w="1189"/>
      </w:tblGrid>
      <w:tr>
        <w:tblPrEx/>
        <w:trPr/>
        <w:tc>
          <w:tcPr>
            <w:tcBorders>
              <w:right w:val="single" w:color="auto" w:sz="4" w:space="0"/>
            </w:tcBorders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>
              <w:left w:val="single" w:color="auto" w:sz="4" w:space="0"/>
            </w:tcBorders>
            <w:tcW w:w="64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16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209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технологии ремонта подвижного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1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технологии производства поездной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1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технологии производства маневровой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365"/>
        </w:trPr>
        <w:tc>
          <w:tcPr>
            <w:tcBorders>
              <w:right w:val="single" w:color="auto" w:sz="4" w:space="0"/>
            </w:tcBorders>
            <w:tcW w:w="166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10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1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97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85"/>
        </w:trPr>
        <w:tc>
          <w:tcPr>
            <w:tcBorders>
              <w:right w:val="single" w:color="auto" w:sz="4" w:space="0"/>
            </w:tcBorders>
            <w:tcW w:w="16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Западно-Сибирская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10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1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8"/>
        </w:trPr>
        <w:tc>
          <w:tcPr>
            <w:tcBorders>
              <w:right w:val="single" w:color="auto" w:sz="4" w:space="0"/>
            </w:tcBorders>
            <w:tcW w:w="16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10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1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16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Восточно-Сибирская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10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1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16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  <w:bottom w:val="single" w:color="auto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10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1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505516" cy="2202509"/>
            <wp:effectExtent l="4762" t="4762" r="4762" b="4762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continuous"/>
      <w:pgSz w:w="11906" w:h="16838" w:orient="portrait"/>
      <w:pgMar w:top="1134" w:right="567" w:bottom="993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3488" w:hanging="51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436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508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580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652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724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796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868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9401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567" w:hanging="51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567" w:hanging="51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682"/>
    <w:next w:val="68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82"/>
    <w:next w:val="682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82"/>
    <w:next w:val="682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82"/>
    <w:next w:val="682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82"/>
    <w:next w:val="682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82"/>
    <w:next w:val="682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82"/>
    <w:next w:val="682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82"/>
    <w:next w:val="682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82"/>
    <w:next w:val="682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81">
    <w:name w:val="Caption"/>
    <w:basedOn w:val="682"/>
    <w:next w:val="682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82" w:default="1">
    <w:name w:val="Normal"/>
    <w:qFormat/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paragraph" w:styleId="686" w:customStyle="1">
    <w:name w:val="Заголовок 11"/>
    <w:basedOn w:val="682"/>
    <w:next w:val="682"/>
    <w:link w:val="71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7" w:customStyle="1">
    <w:name w:val="Заголовок 21"/>
    <w:basedOn w:val="682"/>
    <w:next w:val="682"/>
    <w:link w:val="71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8" w:customStyle="1">
    <w:name w:val="Заголовок 31"/>
    <w:basedOn w:val="682"/>
    <w:link w:val="88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689" w:customStyle="1">
    <w:name w:val="Заголовок 41"/>
    <w:basedOn w:val="682"/>
    <w:next w:val="682"/>
    <w:link w:val="71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 w:customStyle="1">
    <w:name w:val="Заголовок 51"/>
    <w:basedOn w:val="682"/>
    <w:next w:val="682"/>
    <w:link w:val="71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1" w:customStyle="1">
    <w:name w:val="Заголовок 61"/>
    <w:basedOn w:val="682"/>
    <w:next w:val="682"/>
    <w:link w:val="71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2" w:customStyle="1">
    <w:name w:val="Заголовок 71"/>
    <w:basedOn w:val="682"/>
    <w:next w:val="682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3" w:customStyle="1">
    <w:name w:val="Заголовок 81"/>
    <w:basedOn w:val="682"/>
    <w:next w:val="682"/>
    <w:link w:val="71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4" w:customStyle="1">
    <w:name w:val="Заголовок 91"/>
    <w:basedOn w:val="682"/>
    <w:next w:val="682"/>
    <w:link w:val="72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Heading 1 Char"/>
    <w:basedOn w:val="683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Heading 2 Char"/>
    <w:basedOn w:val="683"/>
    <w:uiPriority w:val="9"/>
    <w:rPr>
      <w:rFonts w:ascii="Arial" w:hAnsi="Arial" w:eastAsia="Arial" w:cs="Arial"/>
      <w:sz w:val="34"/>
    </w:rPr>
  </w:style>
  <w:style w:type="character" w:styleId="697" w:customStyle="1">
    <w:name w:val="Heading 4 Char"/>
    <w:basedOn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Heading 5 Char"/>
    <w:basedOn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Heading 6 Char"/>
    <w:basedOn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Heading 7 Char"/>
    <w:basedOn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Heading 8 Char"/>
    <w:basedOn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Heading 9 Char"/>
    <w:basedOn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703" w:customStyle="1">
    <w:name w:val="Title Char"/>
    <w:basedOn w:val="683"/>
    <w:uiPriority w:val="10"/>
    <w:rPr>
      <w:sz w:val="48"/>
      <w:szCs w:val="48"/>
    </w:rPr>
  </w:style>
  <w:style w:type="character" w:styleId="704" w:customStyle="1">
    <w:name w:val="Subtitle Char"/>
    <w:basedOn w:val="683"/>
    <w:uiPriority w:val="11"/>
    <w:rPr>
      <w:sz w:val="24"/>
      <w:szCs w:val="24"/>
    </w:rPr>
  </w:style>
  <w:style w:type="character" w:styleId="705" w:customStyle="1">
    <w:name w:val="Quote Char"/>
    <w:uiPriority w:val="29"/>
    <w:rPr>
      <w:i/>
    </w:rPr>
  </w:style>
  <w:style w:type="character" w:styleId="706" w:customStyle="1">
    <w:name w:val="Intense Quote Char"/>
    <w:uiPriority w:val="30"/>
    <w:rPr>
      <w:i/>
    </w:rPr>
  </w:style>
  <w:style w:type="character" w:styleId="707" w:customStyle="1">
    <w:name w:val="Header Char"/>
    <w:basedOn w:val="683"/>
    <w:uiPriority w:val="99"/>
  </w:style>
  <w:style w:type="character" w:styleId="708" w:customStyle="1">
    <w:name w:val="Footer Char"/>
    <w:basedOn w:val="683"/>
    <w:uiPriority w:val="99"/>
  </w:style>
  <w:style w:type="character" w:styleId="709" w:customStyle="1">
    <w:name w:val="Caption Char"/>
    <w:basedOn w:val="683"/>
    <w:uiPriority w:val="35"/>
    <w:rPr>
      <w:b/>
      <w:bCs/>
      <w:color w:val="4f81bd" w:themeColor="accent1"/>
      <w:sz w:val="18"/>
      <w:szCs w:val="18"/>
    </w:rPr>
  </w:style>
  <w:style w:type="character" w:styleId="710" w:customStyle="1">
    <w:name w:val="Footnote Text Char"/>
    <w:uiPriority w:val="99"/>
    <w:rPr>
      <w:sz w:val="18"/>
    </w:rPr>
  </w:style>
  <w:style w:type="character" w:styleId="711" w:customStyle="1">
    <w:name w:val="Endnote Text Char"/>
    <w:uiPriority w:val="99"/>
    <w:rPr>
      <w:sz w:val="20"/>
    </w:rPr>
  </w:style>
  <w:style w:type="character" w:styleId="712" w:customStyle="1">
    <w:name w:val="Заголовок 1 Знак"/>
    <w:basedOn w:val="683"/>
    <w:link w:val="686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Заголовок 2 Знак"/>
    <w:basedOn w:val="683"/>
    <w:link w:val="687"/>
    <w:uiPriority w:val="9"/>
    <w:rPr>
      <w:rFonts w:ascii="Arial" w:hAnsi="Arial" w:eastAsia="Arial" w:cs="Arial"/>
      <w:sz w:val="34"/>
    </w:rPr>
  </w:style>
  <w:style w:type="character" w:styleId="714" w:customStyle="1">
    <w:name w:val="Heading 3 Char"/>
    <w:basedOn w:val="683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basedOn w:val="683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basedOn w:val="683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basedOn w:val="683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basedOn w:val="683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basedOn w:val="683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basedOn w:val="683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No Spacing"/>
    <w:uiPriority w:val="1"/>
    <w:qFormat/>
    <w:pPr>
      <w:spacing w:after="0" w:line="240" w:lineRule="auto"/>
    </w:pPr>
  </w:style>
  <w:style w:type="paragraph" w:styleId="722">
    <w:name w:val="Title"/>
    <w:basedOn w:val="682"/>
    <w:next w:val="682"/>
    <w:link w:val="723"/>
    <w:uiPriority w:val="10"/>
    <w:qFormat/>
    <w:pPr>
      <w:contextualSpacing/>
      <w:spacing w:before="300"/>
    </w:pPr>
    <w:rPr>
      <w:sz w:val="48"/>
      <w:szCs w:val="48"/>
    </w:rPr>
  </w:style>
  <w:style w:type="character" w:styleId="723" w:customStyle="1">
    <w:name w:val="Название Знак"/>
    <w:basedOn w:val="683"/>
    <w:link w:val="722"/>
    <w:uiPriority w:val="10"/>
    <w:rPr>
      <w:sz w:val="48"/>
      <w:szCs w:val="48"/>
    </w:rPr>
  </w:style>
  <w:style w:type="paragraph" w:styleId="724">
    <w:name w:val="Subtitle"/>
    <w:basedOn w:val="682"/>
    <w:next w:val="682"/>
    <w:link w:val="725"/>
    <w:uiPriority w:val="11"/>
    <w:qFormat/>
    <w:pPr>
      <w:spacing w:before="200"/>
    </w:pPr>
    <w:rPr>
      <w:sz w:val="24"/>
      <w:szCs w:val="24"/>
    </w:rPr>
  </w:style>
  <w:style w:type="character" w:styleId="725" w:customStyle="1">
    <w:name w:val="Подзаголовок Знак"/>
    <w:basedOn w:val="683"/>
    <w:link w:val="724"/>
    <w:uiPriority w:val="11"/>
    <w:rPr>
      <w:sz w:val="24"/>
      <w:szCs w:val="24"/>
    </w:rPr>
  </w:style>
  <w:style w:type="paragraph" w:styleId="726">
    <w:name w:val="Quote"/>
    <w:basedOn w:val="682"/>
    <w:next w:val="682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82"/>
    <w:next w:val="682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paragraph" w:styleId="730" w:customStyle="1">
    <w:name w:val="Верхний колонтитул1"/>
    <w:basedOn w:val="682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 w:customStyle="1">
    <w:name w:val="Верхний колонтитул Знак"/>
    <w:basedOn w:val="683"/>
    <w:link w:val="730"/>
    <w:uiPriority w:val="99"/>
  </w:style>
  <w:style w:type="paragraph" w:styleId="732" w:customStyle="1">
    <w:name w:val="Нижний колонтитул1"/>
    <w:basedOn w:val="682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 w:customStyle="1">
    <w:name w:val="Нижний колонтитул Знак"/>
    <w:basedOn w:val="683"/>
    <w:link w:val="732"/>
    <w:uiPriority w:val="99"/>
  </w:style>
  <w:style w:type="paragraph" w:styleId="734" w:customStyle="1">
    <w:name w:val="Название объекта1"/>
    <w:basedOn w:val="682"/>
    <w:next w:val="682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Название объекта Знак"/>
    <w:basedOn w:val="683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7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8" w:customStyle="1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82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83"/>
    <w:uiPriority w:val="99"/>
    <w:unhideWhenUsed/>
    <w:rPr>
      <w:vertAlign w:val="superscript"/>
    </w:rPr>
  </w:style>
  <w:style w:type="paragraph" w:styleId="865">
    <w:name w:val="endnote text"/>
    <w:basedOn w:val="682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83"/>
    <w:uiPriority w:val="99"/>
    <w:semiHidden/>
    <w:unhideWhenUsed/>
    <w:rPr>
      <w:vertAlign w:val="superscript"/>
    </w:rPr>
  </w:style>
  <w:style w:type="paragraph" w:styleId="868">
    <w:name w:val="toc 1"/>
    <w:basedOn w:val="682"/>
    <w:next w:val="682"/>
    <w:uiPriority w:val="39"/>
    <w:unhideWhenUsed/>
    <w:pPr>
      <w:spacing w:after="57"/>
    </w:pPr>
  </w:style>
  <w:style w:type="paragraph" w:styleId="869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870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871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872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873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874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875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876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82"/>
    <w:next w:val="682"/>
    <w:uiPriority w:val="99"/>
    <w:unhideWhenUsed/>
    <w:pPr>
      <w:spacing w:after="0"/>
    </w:pPr>
  </w:style>
  <w:style w:type="paragraph" w:styleId="879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character" w:styleId="880" w:customStyle="1">
    <w:name w:val="Заголовок 3 Знак"/>
    <w:basedOn w:val="683"/>
    <w:link w:val="688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81">
    <w:name w:val="Hyperlink"/>
    <w:basedOn w:val="683"/>
    <w:uiPriority w:val="99"/>
    <w:unhideWhenUsed/>
    <w:rPr>
      <w:color w:val="0000ff"/>
      <w:u w:val="single"/>
    </w:rPr>
  </w:style>
  <w:style w:type="paragraph" w:styleId="882">
    <w:name w:val="Balloon Text"/>
    <w:basedOn w:val="682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683"/>
    <w:link w:val="882"/>
    <w:uiPriority w:val="99"/>
    <w:semiHidden/>
    <w:rPr>
      <w:rFonts w:ascii="Segoe UI" w:hAnsi="Segoe UI" w:cs="Segoe UI"/>
      <w:sz w:val="18"/>
      <w:szCs w:val="18"/>
    </w:rPr>
  </w:style>
  <w:style w:type="paragraph" w:styleId="884">
    <w:name w:val="List Paragraph"/>
    <w:basedOn w:val="682"/>
    <w:uiPriority w:val="34"/>
    <w:qFormat/>
    <w:pPr>
      <w:contextualSpacing/>
      <w:ind w:left="720"/>
    </w:pPr>
  </w:style>
  <w:style w:type="character" w:styleId="885" w:customStyle="1">
    <w:name w:val="Основной текст (2)_"/>
    <w:basedOn w:val="683"/>
    <w:link w:val="886"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paragraph" w:styleId="886" w:customStyle="1">
    <w:name w:val="Основной текст (2)"/>
    <w:basedOn w:val="682"/>
    <w:link w:val="885"/>
    <w:pPr>
      <w:jc w:val="center"/>
      <w:spacing w:after="300" w:line="37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11"/>
    </w:rPr>
  </w:style>
  <w:style w:type="paragraph" w:styleId="887">
    <w:name w:val="Header"/>
    <w:basedOn w:val="682"/>
    <w:link w:val="88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8" w:customStyle="1">
    <w:name w:val="Верхний колонтитул Знак1"/>
    <w:basedOn w:val="683"/>
    <w:link w:val="887"/>
    <w:uiPriority w:val="99"/>
    <w:semiHidden/>
  </w:style>
  <w:style w:type="paragraph" w:styleId="889">
    <w:name w:val="Footer"/>
    <w:basedOn w:val="682"/>
    <w:link w:val="89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1"/>
    <w:basedOn w:val="683"/>
    <w:link w:val="889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hart" Target="charts/chart1.xml" /><Relationship Id="rId11" Type="http://schemas.openxmlformats.org/officeDocument/2006/relationships/chart" Target="charts/chart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047590"/>
          <c:y val="0.067500"/>
          <c:w val="0.726470"/>
          <c:h val="0.645720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январь 2026 г. 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tx2">
                <a:lumMod val="40000"/>
                <a:lumOff val="60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>
              <a:outerShdw sx="1000" sy="1000" algn="ctr" rotWithShape="0">
                <a:srgbClr val="000000"/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Лист1!$A$2:$A$4</c:f>
              <c:strCache>
                <c:ptCount val="3"/>
                <c:pt idx="0">
                  <c:v xml:space="preserve">Западно-Сибирская железная дорога</c:v>
                </c:pt>
                <c:pt idx="1">
                  <c:v xml:space="preserve">Красноярская железная дорога</c:v>
                </c:pt>
                <c:pt idx="2">
                  <c:v xml:space="preserve">Восточно-Сибирская железная дорогая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Общее количество случаев, допущенных в январе 2026 года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bg1"/>
            </a:solidFill>
            <a:ln>
              <a:solidFill>
                <a:srgbClr val="0070C0"/>
              </a:solidFill>
            </a:ln>
            <a:effectLst>
              <a:outerShdw blurRad="114300" dist="63500" dir="2040000" sx="1000" sy="1000" algn="ctr" rotWithShape="0">
                <a:srgbClr val="000000"/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 xml:space="preserve">Западно-Сибирская железная дорога</c:v>
                </c:pt>
                <c:pt idx="1">
                  <c:v xml:space="preserve">Красноярская железная дорога</c:v>
                </c:pt>
                <c:pt idx="2">
                  <c:v xml:space="preserve">Восточно-Сибирская железная дорогая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overlap val="100"/>
        <c:axId val="197412352"/>
        <c:axId val="157964480"/>
      </c:barChart>
      <c:catAx>
        <c:axId val="197412352"/>
        <c:scaling>
          <c:orientation val="minMax"/>
        </c:scaling>
        <c:delete val="0"/>
        <c:axPos val="b"/>
        <c:majorTickMark val="out"/>
        <c:minorTickMark val="none"/>
        <c:tickLblPos val="nextTo"/>
        <c:crossAx val="157964480"/>
        <c:crosses val="autoZero"/>
        <c:auto val="1"/>
        <c:lblAlgn val="ctr"/>
        <c:lblOffset val="100"/>
        <c:noMultiLvlLbl val="0"/>
      </c:catAx>
      <c:valAx>
        <c:axId val="157964480"/>
        <c:scaling>
          <c:orientation val="minMax"/>
          <c:max val="5.000000"/>
          <c:min val="0.000000"/>
        </c:scaling>
        <c:delete val="0"/>
        <c:axPos val="l"/>
        <c:majorGridlines>
          <c:spPr bwMode="auto"/>
        </c:majorGridlines>
        <c:numFmt formatCode="General" sourceLinked="1"/>
        <c:majorTickMark val="out"/>
        <c:minorTickMark val="none"/>
        <c:tickLblPos val="nextTo"/>
        <c:crossAx val="197412352"/>
        <c:crosses val="autoZero"/>
        <c:crossBetween val="between"/>
        <c:majorUnit val="1.000000"/>
        <c:minorUnit val="0.100000"/>
      </c:valAx>
      <c:spPr bwMode="auto">
        <a:prstGeom prst="rect">
          <a:avLst/>
        </a:prstGeom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1420"/>
          <c:y val="0.147130"/>
          <c:w val="0.205000"/>
          <c:h val="0.511980"/>
        </c:manualLayout>
      </c:layout>
      <c:overlay val="0"/>
    </c:legend>
    <c:plotVisOnly val="1"/>
    <c:dispBlanksAs val="gap"/>
    <c:showDLblsOverMax val="0"/>
  </c:chart>
  <c:spPr bwMode="auto">
    <a:xfrm>
      <a:off x="0" y="0"/>
      <a:ext cx="6082746" cy="2594112"/>
    </a:xfrm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1640"/>
          <c:y val="0.057170"/>
          <c:w val="0.564780"/>
          <c:h val="0.728720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январь 2025 г.</c:v>
                </c:pt>
              </c:strCache>
            </c:strRef>
          </c:tx>
          <c:spPr bwMode="auto">
            <a:prstGeom prst="rect">
              <a:avLst/>
            </a:prstGeom>
            <a:solidFill>
              <a:sysClr val="window" lastClr="ffffff">
                <a:lumMod val="50000"/>
                <a:alpha val="13000"/>
              </a:sysClr>
            </a:solidFill>
            <a:ln>
              <a:solidFill>
                <a:schemeClr val="accent1">
                  <a:lumMod val="75000"/>
                </a:schemeClr>
              </a:solidFill>
            </a:ln>
            <a:effectLst>
              <a:outerShdw blurRad="114300" dist="63500" dir="19860000" sx="1000" sy="1000" algn="ctr" rotWithShape="0">
                <a:srgbClr val="000000">
                  <a:alpha val="84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Лист1!$A$2:$A$4</c:f>
              <c:strCache>
                <c:ptCount val="3"/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январь 2026 г. </c:v>
                </c:pt>
              </c:strCache>
            </c:strRef>
          </c:tx>
          <c:spPr bwMode="auto">
            <a:prstGeom prst="rect">
              <a:avLst/>
            </a:prstGeom>
            <a:solidFill>
              <a:srgbClr val="1F497D">
                <a:lumMod val="60000"/>
                <a:lumOff val="40000"/>
                <a:alpha val="51000"/>
              </a:srgbClr>
            </a:solidFill>
            <a:ln>
              <a:solidFill>
                <a:srgbClr val="1F497D">
                  <a:lumMod val="75000"/>
                </a:srgbClr>
              </a:solidFill>
            </a:ln>
            <a:effectLst>
              <a:outerShdw blurRad="114300" dist="63500" dir="2040000" sx="1000" sy="1000" algn="ctr" rotWithShape="0">
                <a:srgbClr val="000000">
                  <a:alpha val="85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Лист1!$A$2:$A$4</c:f>
              <c:strCache>
                <c:ptCount val="3"/>
                <c:pt idx="0">
                  <c:v xml:space="preserve">Западно-Сибирская железная дорога</c:v>
                </c:pt>
                <c:pt idx="1">
                  <c:v xml:space="preserve">Красноярская железная дорога</c:v>
                </c:pt>
                <c:pt idx="2">
                  <c:v xml:space="preserve">Восточно-Сибирская железная дорогая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86"/>
        <c:axId val="203513856"/>
        <c:axId val="158904256"/>
      </c:barChart>
      <c:catAx>
        <c:axId val="2035138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58904256"/>
        <c:crosses val="autoZero"/>
        <c:auto val="1"/>
        <c:lblAlgn val="ctr"/>
        <c:lblOffset val="100"/>
        <c:noMultiLvlLbl val="0"/>
      </c:catAx>
      <c:valAx>
        <c:axId val="158904256"/>
        <c:scaling>
          <c:orientation val="minMax"/>
          <c:max val="4.000000"/>
          <c:min val="0.000000"/>
        </c:scaling>
        <c:delete val="0"/>
        <c:axPos val="b"/>
        <c:majorGridlines>
          <c:spPr bwMode="auto"/>
        </c:majorGridlines>
        <c:numFmt formatCode="General" sourceLinked="1"/>
        <c:majorTickMark val="out"/>
        <c:minorTickMark val="none"/>
        <c:tickLblPos val="nextTo"/>
        <c:crossAx val="203513856"/>
        <c:crosses val="autoZero"/>
        <c:crossBetween val="between"/>
        <c:majorUnit val="1.000000"/>
        <c:minorUnit val="0.100000"/>
      </c:valAx>
    </c:plotArea>
    <c:legend>
      <c:legendPos val="r"/>
      <c:layout>
        <c:manualLayout>
          <c:xMode val="edge"/>
          <c:yMode val="edge"/>
          <c:x val="0.907770"/>
          <c:y val="0.167500"/>
          <c:w val="0.090760"/>
          <c:h val="0.438470"/>
        </c:manualLayout>
      </c:layout>
      <c:overlay val="0"/>
    </c:legend>
    <c:plotVisOnly val="1"/>
    <c:dispBlanksAs val="gap"/>
    <c:showDLblsOverMax val="0"/>
  </c:chart>
  <c:spPr bwMode="auto">
    <a:xfrm>
      <a:off x="0" y="0"/>
      <a:ext cx="6505515" cy="2202508"/>
    </a:xfrm>
  </c:sp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0467D-5D60-4D7A-831C-710E9171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Nevidimov</dc:creator>
  <cp:lastModifiedBy>Harsekina_OV</cp:lastModifiedBy>
  <cp:revision>6</cp:revision>
  <dcterms:created xsi:type="dcterms:W3CDTF">2025-10-14T06:09:00Z</dcterms:created>
  <dcterms:modified xsi:type="dcterms:W3CDTF">2026-03-02T09:23:17Z</dcterms:modified>
</cp:coreProperties>
</file>